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w:t>
      </w:r>
      <w:r>
        <w:t xml:space="preserve"> </w:t>
      </w:r>
      <w:r>
        <w:rPr>
          <w:iCs/>
          <w:i/>
        </w:rPr>
        <w:t xml:space="preserve">et al.</w:t>
      </w:r>
      <w:r>
        <w:t xml:space="preserv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3875128"/>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3875128"/>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leaf area density, (b)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in the understory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 with the profile shape modified by leaf area density,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w:t>
      </w:r>
      <w:r>
        <w:t xml:space="preserve">.</w:t>
      </w:r>
      <w:r>
        <w:t xml:space="preserve"> </w:t>
      </w:r>
      <w:r>
        <w:t xml:space="preserve">This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r>
        <w:t xml:space="preserve"> </w:t>
      </w:r>
      <w:r>
        <w:t xml:space="preserve">Likewise, the mid-canopy experiences a highly variable light environment due to the sun’s passage across a dynamically structured canopy surface</w:t>
      </w:r>
      <w:r>
        <w:t xml:space="preserve"> </w:t>
      </w:r>
      <w:r>
        <w:t xml:space="preserve">(Way &amp; Pearcy, 2012)</w:t>
      </w:r>
      <w:r>
        <w:t xml:space="preserve">.</w:t>
      </w:r>
      <w:r>
        <w:t xml:space="preserve"> </w:t>
      </w:r>
      <w:r>
        <w:t xml:space="preserve">The implication of this light gradient is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Wind speeds are also higher at the top of the canopy, owing to the buffering effect of the canopy</w:t>
      </w:r>
      <w:r>
        <w:t xml:space="preserve"> </w:t>
      </w:r>
      <w:r>
        <w:t xml:space="preserve">(Jucker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both water and heat loss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the driving force of water loss from leaves–which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it can be significantly buffered by forest canopies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w:t>
      </w:r>
      <w:r>
        <w:t xml:space="preserve"> </w:t>
      </w:r>
      <w:r>
        <w:rPr>
          <w:iCs/>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w:t>
      </w:r>
      <w:r>
        <w:t xml:space="preserve"> </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can decline at high VPD due to stomatal closure.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with</w:t>
      </w:r>
      <w:r>
        <w:t xml:space="preserve"> </w:t>
      </w:r>
      <m:oMath>
        <m:sSub>
          <m:e>
            <m:r>
              <m:t>g</m:t>
            </m:r>
          </m:e>
          <m:sub>
            <m:r>
              <m:t>s</m:t>
            </m:r>
          </m:sub>
        </m:sSub>
      </m:oMath>
      <w:r>
        <w:t xml:space="preserve"> </w:t>
      </w:r>
      <w:r>
        <w:t xml:space="preserve">(Fig. 3e).</w:t>
      </w:r>
    </w:p>
    <w:p>
      <w:pPr>
        <w:pStyle w:val="CaptionedFigure"/>
      </w:pPr>
      <w:r>
        <w:drawing>
          <wp:inline>
            <wp:extent cx="5334000" cy="2817196"/>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817196"/>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drought conditions, as detailed in Supplementary Information Methods S2. In each scenario, the independent variable was allowed to vary while other parameters were held constant at the values given in the table of biophysical constants.</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 and larger</w:t>
      </w:r>
      <w:r>
        <w:t xml:space="preserve"> </w:t>
      </w:r>
      <m:oMath>
        <m:sSub>
          <m:e>
            <m:r>
              <m:t>g</m:t>
            </m:r>
          </m:e>
          <m:sub>
            <m:r>
              <m:t>s</m:t>
            </m:r>
          </m:sub>
        </m:sSub>
      </m:oMath>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(influenced by VPD and stomatal opening) exceeds the rate of supply, conservation of water (</w:t>
      </w:r>
      <m:oMath>
        <m:sSub>
          <m:e>
            <m:r>
              <m:t>g</m:t>
            </m:r>
          </m:e>
          <m:sub>
            <m:r>
              <m:t>s</m:t>
            </m:r>
          </m:sub>
        </m:sSub>
      </m:oMath>
      <w:r>
        <w:t xml:space="preserve"> </w:t>
      </w:r>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buffered lower-canopies,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 2).</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w:t>
      </w:r>
      <w:r>
        <w:t xml:space="preserve">, but with greater leaf packing and clumping (reduces</w:t>
      </w:r>
      <w:r>
        <w:t xml:space="preserve"> </w:t>
      </w:r>
      <m:oMath>
        <m:sSub>
          <m:e>
            <m:r>
              <m:t>g</m:t>
            </m:r>
          </m:e>
          <m:sub>
            <m:r>
              <m:t>b</m:t>
            </m:r>
          </m:sub>
        </m:sSub>
      </m:oMath>
      <w:r>
        <w:t xml:space="preserve">).</w:t>
      </w:r>
      <w:r>
        <w:t xml:space="preserve"> </w:t>
      </w:r>
      <w:r>
        <w:t xml:space="preserve">Steeper leaf angles reduce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w:t>
      </w:r>
      <w:r>
        <w:t xml:space="preserve">.</w:t>
      </w:r>
      <w:r>
        <w:t xml:space="preserve"> </w:t>
      </w:r>
      <w:r>
        <w:t xml:space="preserve">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r>
        <w:t xml:space="preserve"> </w:t>
      </w: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Further,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conductance, and</w:t>
      </w:r>
      <w:r>
        <w:t xml:space="preserve"> </w:t>
      </w:r>
      <m:oMath>
        <m:sSub>
          <m:e>
            <m:r>
              <m:t>g</m:t>
            </m:r>
          </m:e>
          <m:sub>
            <m:r>
              <m:t>b</m:t>
            </m:r>
          </m:sub>
        </m:sSub>
      </m:oMath>
      <w:r>
        <w:t xml:space="preserve"> </w:t>
      </w:r>
      <w:r>
        <w:t xml:space="preserve">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 and is thus higher in the sun-exposed upper canopy than in sub-canopy or understory leaves (Table 2).</w:t>
      </w:r>
      <w:r>
        <w:t xml:space="preserve"> </w:t>
      </w:r>
      <w:r>
        <w:t xml:space="preserve">However, because water supply often cannot meet the demands incurred by the high irradiance and</w:t>
      </w:r>
      <w:r>
        <w:t xml:space="preserve"> </w:t>
      </w:r>
      <m:oMath>
        <m:sSub>
          <m:e>
            <m:r>
              <m:t>g</m:t>
            </m:r>
          </m:e>
          <m:sub>
            <m:r>
              <m:t>b</m:t>
            </m:r>
          </m:sub>
        </m:sSub>
      </m:oMath>
      <w:r>
        <w:t xml:space="preserve"> </w:t>
      </w:r>
      <w:r>
        <w:t xml:space="preserve">experienced by sun leaves, midday stomatal depression is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In sun leaves,</w:t>
      </w:r>
      <w:r>
        <w:t xml:space="preserve"> </w:t>
      </w:r>
      <m:oMath>
        <m:sSub>
          <m:e>
            <m:r>
              <m:t>T</m:t>
            </m:r>
          </m:e>
          <m:sub>
            <m:r>
              <m:t>l</m:t>
            </m:r>
            <m:r>
              <m:t>e</m:t>
            </m:r>
            <m:r>
              <m:t>a</m:t>
            </m:r>
            <m:r>
              <m:t>f</m:t>
            </m:r>
          </m:sub>
        </m:sSub>
      </m:oMath>
      <w:r>
        <w:t xml:space="preserve"> </w:t>
      </w:r>
      <w:r>
        <w:t xml:space="preserve">thus further increases due to the lack of transpirational cooling</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maximal,</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theoretically expected and observed in numerous field studies</w:t>
      </w:r>
      <w:r>
        <w:t xml:space="preserve"> </w:t>
      </w:r>
      <w:r>
        <w:t xml:space="preserve">(Table 2, Niinemets, 2007 ;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and along vertical gradients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and photosynthesis.</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in press in press)</w:t>
      </w:r>
      <w:r>
        <w:t xml:space="preserve">.</w:t>
      </w:r>
      <w:r>
        <w:t xml:space="preserve"> </w:t>
      </w:r>
      <w:r>
        <w:t xml:space="preserve">In open forests and for open-growth individual trees, growth rate declines with DBH</w:t>
      </w:r>
      <w:r>
        <w:t xml:space="preserve"> </w:t>
      </w:r>
      <w:r>
        <w:t xml:space="preserve">(Anderson-Teixeira</w:t>
      </w:r>
      <w:r>
        <w:t xml:space="preserve"> </w:t>
      </w:r>
      <w:r>
        <w:rPr>
          <w:iCs/>
          <w:i/>
        </w:rPr>
        <w:t xml:space="preserve">et al.</w:t>
      </w:r>
      <w:r>
        <w:t xml:space="preserve">, in press in press; Muller-Landau</w:t>
      </w:r>
      <w:r>
        <w:t xml:space="preserve"> </w:t>
      </w:r>
      <w:r>
        <w:rPr>
          <w:iCs/>
          <w:i/>
        </w:rPr>
        <w:t xml:space="preserve">et al.</w:t>
      </w:r>
      <w:r>
        <w:t xml:space="preserve">, 2006)</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microclimate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(Anderson-Teixeira</w:t>
      </w:r>
      <w:r>
        <w:t xml:space="preserve"> </w:t>
      </w:r>
      <w:r>
        <w:rPr>
          <w:iCs/>
          <w:i/>
        </w:rPr>
        <w:t xml:space="preserve">et al.</w:t>
      </w:r>
      <w:r>
        <w:t xml:space="preserve">, in press in press; 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lower ability to recover from stress</w:t>
      </w:r>
      <w:r>
        <w:t xml:space="preserve"> </w:t>
      </w:r>
      <w:r>
        <w:t xml:space="preserve">(Gillerot</w:t>
      </w:r>
      <w:r>
        <w:t xml:space="preserve"> </w:t>
      </w:r>
      <w:r>
        <w:rPr>
          <w:iCs/>
          <w:i/>
        </w:rPr>
        <w:t xml:space="preserve">et al.</w:t>
      </w:r>
      <w:r>
        <w:t xml:space="preserve">, 2020; i.e., resilience, McGregor</w:t>
      </w:r>
      <w:r>
        <w:t xml:space="preserve"> </w:t>
      </w:r>
      <w:r>
        <w:rPr>
          <w:iCs/>
          <w:i/>
        </w:rPr>
        <w:t xml:space="preserve">et al.</w:t>
      </w:r>
      <w:r>
        <w:t xml:space="preserve">, 2021)</w:t>
      </w:r>
      <w:r>
        <w:t xml:space="preserve">, and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(Anderson-Teixeira</w:t>
      </w:r>
      <w:r>
        <w:t xml:space="preserve"> </w:t>
      </w:r>
      <w:r>
        <w:rPr>
          <w:iCs/>
          <w:i/>
        </w:rPr>
        <w:t xml:space="preserve">et al.</w:t>
      </w:r>
      <w:r>
        <w:t xml:space="preserve">, in press in press; Bennett</w:t>
      </w:r>
      <w:r>
        <w:t xml:space="preserve"> </w:t>
      </w:r>
      <w:r>
        <w:rPr>
          <w:iCs/>
          <w:i/>
        </w:rPr>
        <w:t xml:space="preserve">et al.</w:t>
      </w:r>
      <w:r>
        <w:t xml:space="preserve">, 2015)</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in press in press)</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in press) in press.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(in press)</w:t>
      </w:r>
      <w:r>
        <w:t xml:space="preserve"> </w:t>
      </w:r>
      <w:r>
        <w:t xml:space="preserve">in press.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 [Fig 5a;</w:t>
      </w:r>
      <w:r>
        <w:t xml:space="preserve"> </w:t>
      </w:r>
      <w:r>
        <w:t xml:space="preserve">Kunert</w:t>
      </w:r>
      <w:r>
        <w:t xml:space="preserve"> </w:t>
      </w:r>
      <w:r>
        <w:rPr>
          <w:iCs/>
          <w:i/>
        </w:rPr>
        <w:t xml:space="preserve">et al.</w:t>
      </w:r>
      <w:r>
        <w:t xml:space="preserve"> </w:t>
      </w:r>
      <w:r>
        <w:t xml:space="preserve">(2017)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 [i.e., GPP - ecosystem respiration, including from soil;</w:t>
      </w:r>
      <w:r>
        <w:t xml:space="preserve"> </w:t>
      </w:r>
      <w:r>
        <w:t xml:space="preserve">Misson</w:t>
      </w:r>
      <w:r>
        <w:t xml:space="preserve"> </w:t>
      </w:r>
      <w:r>
        <w:rPr>
          <w:iCs/>
          <w:i/>
        </w:rPr>
        <w:t xml:space="preserve">et al.</w:t>
      </w:r>
      <w:r>
        <w:t xml:space="preserve"> </w:t>
      </w:r>
      <w:r>
        <w:t xml:space="preserve">(2007)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44"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(Anderson-Teixeira</w:t>
      </w:r>
      <w:r>
        <w:t xml:space="preserve"> </w:t>
      </w:r>
      <w:r>
        <w:rPr>
          <w:iCs/>
          <w:i/>
        </w:rPr>
        <w:t xml:space="preserve">et al.</w:t>
      </w:r>
      <w:r>
        <w:t xml:space="preserve">, in press in press; section 5.1, Figs. 1- 4, e.g., 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tree-ring evidence indicates that understory trees tend to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may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whereas understory trees may be increasingly prone to carbon starvation, particularly under humid conditions that make it more challenging to shed excess heat.</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 [e.g., wind, lighting;</w:t>
      </w:r>
      <w:r>
        <w:t xml:space="preserve"> </w:t>
      </w:r>
      <w:r>
        <w:t xml:space="preserve">Gora &amp; Esquivel-Muelbert (2021)</w:t>
      </w:r>
      <w:r>
        <w:t xml:space="preserve">] 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The findings of this review reinforce the notion that representing vertical structuring, as can be done using cohort-based-models,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 (e.g., sunlit and shaded portions) 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De Pury &amp; Farquhar, 1997;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the temperature sensitivities of metabolism and woody growth vary across these vertical gradients.</w:t>
      </w:r>
      <w:r>
        <w:t xml:space="preserve"> </w:t>
      </w:r>
      <w:r>
        <w:t xml:space="preserve">The preponderance of available data suggest that while large canopy trees are the most vulnerable to warming when water is limited, understory trees may be more vulnerable under more mesic conditions, but more research is needed.</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43" w:name="references"/>
    <w:p>
      <w:pPr>
        <w:pStyle w:val="Heading2"/>
      </w:pPr>
      <w:r>
        <w:t xml:space="preserve">References</w:t>
      </w:r>
    </w:p>
    <w:bookmarkStart w:id="342"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 Case 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f77059c8cccaf1ed3c6a1b3eb8df70ad1d32569"/>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more] [many</w:t>
      </w:r>
      <w:r>
        <w:t xml:space="preserve">.</w:t>
      </w:r>
      <w:r>
        <w:t xml:space="preserve"> </w:t>
      </w:r>
      <w:r>
        <w:rPr>
          <w:bCs/>
          <w:b/>
        </w:rPr>
        <w:t xml:space="preserve">in press</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t>
      </w:r>
      <w:r>
        <w:t xml:space="preserve">-</w:t>
      </w:r>
      <w:r>
        <w:t xml:space="preserve">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 Ecophysiological 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 A</w:t>
      </w:r>
      <w:r>
        <w:t xml:space="preserve"> </w:t>
      </w:r>
      <w:r>
        <w:t xml:space="preserve">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7"/>
    <w:bookmarkStart w:id="78"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78"/>
    <w:bookmarkStart w:id="79"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79"/>
    <w:bookmarkStart w:id="80"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0"/>
    <w:bookmarkStart w:id="81"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1"/>
    <w:bookmarkStart w:id="82" w:name="ref-barnardSeasonalVariationCanopy2016a"/>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2"/>
    <w:bookmarkStart w:id="83"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3"/>
    <w:bookmarkStart w:id="84"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4"/>
    <w:bookmarkStart w:id="85"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5"/>
    <w:bookmarkStart w:id="86"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6"/>
    <w:bookmarkStart w:id="87"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7"/>
    <w:bookmarkStart w:id="88"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88"/>
    <w:bookmarkStart w:id="89"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89"/>
    <w:bookmarkStart w:id="90"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0"/>
    <w:bookmarkStart w:id="91"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1"/>
    <w:bookmarkStart w:id="92"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2"/>
    <w:bookmarkStart w:id="93"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3"/>
    <w:bookmarkStart w:id="94"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94"/>
    <w:bookmarkStart w:id="95"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95"/>
    <w:bookmarkStart w:id="96" w:name="X0ae276aef0ee92157d54a4be9364ed93917d910"/>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96"/>
    <w:bookmarkStart w:id="97"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97"/>
    <w:bookmarkStart w:id="98"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98"/>
    <w:bookmarkStart w:id="99"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99"/>
    <w:bookmarkStart w:id="100"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0"/>
    <w:bookmarkStart w:id="101"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1"/>
    <w:bookmarkStart w:id="102"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2"/>
    <w:bookmarkStart w:id="103"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3"/>
    <w:bookmarkStart w:id="104"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04"/>
    <w:bookmarkStart w:id="105"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05"/>
    <w:bookmarkStart w:id="106"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06"/>
    <w:bookmarkStart w:id="107"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07"/>
    <w:bookmarkStart w:id="108"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08"/>
    <w:bookmarkStart w:id="109"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09"/>
    <w:bookmarkStart w:id="110"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0"/>
    <w:bookmarkStart w:id="111"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1"/>
    <w:bookmarkStart w:id="112"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 A 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2"/>
    <w:bookmarkStart w:id="113"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3"/>
    <w:bookmarkStart w:id="114"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14"/>
    <w:bookmarkStart w:id="115"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 Implications 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15"/>
    <w:bookmarkStart w:id="116" w:name="ref-daudetWindSpeedLeaf1999a"/>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 Consequences 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16"/>
    <w:bookmarkStart w:id="117"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17"/>
    <w:bookmarkStart w:id="118"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w:t>
      </w:r>
      <w:r>
        <w:t xml:space="preserve">-derived 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18"/>
    <w:bookmarkStart w:id="119"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 Importance, drivers and future research agenda.</w:t>
      </w:r>
      <w:r>
        <w:t xml:space="preserve"> </w:t>
      </w:r>
      <w:r>
        <w:rPr>
          <w:iCs/>
          <w:i/>
        </w:rPr>
        <w:t xml:space="preserve">Global Change Biology</w:t>
      </w:r>
      <w:r>
        <w:t xml:space="preserve"> </w:t>
      </w:r>
      <w:r>
        <w:rPr>
          <w:bCs/>
          <w:b/>
        </w:rPr>
        <w:t xml:space="preserve">27</w:t>
      </w:r>
      <w:r>
        <w:t xml:space="preserve">: 2279–2297.</w:t>
      </w:r>
    </w:p>
    <w:bookmarkEnd w:id="119"/>
    <w:bookmarkStart w:id="120"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0"/>
    <w:bookmarkStart w:id="121"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1"/>
    <w:bookmarkStart w:id="122"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22"/>
    <w:bookmarkStart w:id="123"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23"/>
    <w:bookmarkStart w:id="124"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 A 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24"/>
    <w:bookmarkStart w:id="125"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25"/>
    <w:bookmarkStart w:id="126"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26"/>
    <w:bookmarkStart w:id="127"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27"/>
    <w:bookmarkStart w:id="128"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28"/>
    <w:bookmarkStart w:id="129"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29"/>
    <w:bookmarkStart w:id="130"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0"/>
    <w:bookmarkStart w:id="131"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31"/>
    <w:bookmarkStart w:id="132"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 A review of progress and priorities.</w:t>
      </w:r>
      <w:r>
        <w:t xml:space="preserve"> </w:t>
      </w:r>
      <w:r>
        <w:rPr>
          <w:iCs/>
          <w:i/>
        </w:rPr>
        <w:t xml:space="preserve">Global Change Biology</w:t>
      </w:r>
      <w:r>
        <w:t xml:space="preserve"> </w:t>
      </w:r>
      <w:r>
        <w:rPr>
          <w:bCs/>
          <w:b/>
        </w:rPr>
        <w:t xml:space="preserve">24</w:t>
      </w:r>
      <w:r>
        <w:t xml:space="preserve">: 35–54.</w:t>
      </w:r>
    </w:p>
    <w:bookmarkEnd w:id="132"/>
    <w:bookmarkStart w:id="133"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33"/>
    <w:bookmarkStart w:id="134"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34"/>
    <w:bookmarkStart w:id="135"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35"/>
    <w:bookmarkStart w:id="136"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 Results 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36"/>
    <w:bookmarkStart w:id="137"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37"/>
    <w:bookmarkStart w:id="138"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38"/>
    <w:bookmarkStart w:id="139"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39"/>
    <w:bookmarkStart w:id="140"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40"/>
    <w:bookmarkStart w:id="141"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41"/>
    <w:bookmarkStart w:id="142"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42"/>
    <w:bookmarkStart w:id="143"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 Characterizing 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43"/>
    <w:bookmarkStart w:id="144"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44"/>
    <w:bookmarkStart w:id="145"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45"/>
    <w:bookmarkStart w:id="146"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46"/>
    <w:bookmarkStart w:id="147"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47"/>
    <w:bookmarkStart w:id="148" w:name="ref-hanberryOpenForestEcosystems2020a"/>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 An excluded state.</w:t>
      </w:r>
      <w:r>
        <w:t xml:space="preserve"> </w:t>
      </w:r>
      <w:r>
        <w:rPr>
          <w:iCs/>
          <w:i/>
        </w:rPr>
        <w:t xml:space="preserve">Forest Ecology and Management</w:t>
      </w:r>
      <w:r>
        <w:t xml:space="preserve"> </w:t>
      </w:r>
      <w:r>
        <w:rPr>
          <w:bCs/>
          <w:b/>
        </w:rPr>
        <w:t xml:space="preserve">472</w:t>
      </w:r>
      <w:r>
        <w:t xml:space="preserve">: 118256.</w:t>
      </w:r>
    </w:p>
    <w:bookmarkEnd w:id="148"/>
    <w:bookmarkStart w:id="149"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49"/>
    <w:bookmarkStart w:id="150"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50"/>
    <w:bookmarkStart w:id="151"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 Forest 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51"/>
    <w:bookmarkStart w:id="152"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52"/>
    <w:bookmarkStart w:id="153"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53"/>
    <w:bookmarkStart w:id="154"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54"/>
    <w:bookmarkStart w:id="155"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55"/>
    <w:bookmarkStart w:id="156" w:name="ref-heChangesShadowShifting2018"/>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 The</w:t>
      </w:r>
      <w:r>
        <w:t xml:space="preserve"> </w:t>
      </w:r>
      <w:r>
        <w:t xml:space="preserve">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56"/>
    <w:bookmarkStart w:id="157"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57"/>
    <w:bookmarkStart w:id="15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58"/>
    <w:bookmarkStart w:id="15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59"/>
    <w:bookmarkStart w:id="160"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w:t>
      </w:r>
      <w:r>
        <w:t xml:space="preserve">-</w:t>
      </w:r>
      <w:r>
        <w:t xml:space="preserve">Scale Heat Vulnerability</w:t>
      </w:r>
      <w:r>
        <w:t xml:space="preserve"> </w:t>
      </w:r>
      <w:r>
        <w:t xml:space="preserve">in</w:t>
      </w:r>
      <w:r>
        <w:t xml:space="preserve"> </w:t>
      </w:r>
      <w:r>
        <w:t xml:space="preserve">Cities</w:t>
      </w:r>
      <w:r>
        <w:t xml:space="preserve">: A</w:t>
      </w:r>
      <w:r>
        <w:t xml:space="preserve"> </w:t>
      </w:r>
      <w:r>
        <w:t xml:space="preserve">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60"/>
    <w:bookmarkStart w:id="161"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61"/>
    <w:bookmarkStart w:id="162"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62"/>
    <w:bookmarkStart w:id="163" w:name="ref-ichieEcologicalDistributionLeaf2016"/>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63"/>
    <w:bookmarkStart w:id="164"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w:t>
      </w:r>
      <w:r>
        <w:t xml:space="preserve">–</w:t>
      </w:r>
      <w:r>
        <w:t xml:space="preserve">IPCC</w:t>
      </w:r>
      <w:r>
        <w:t xml:space="preserve">.</w:t>
      </w:r>
    </w:p>
    <w:bookmarkEnd w:id="164"/>
    <w:bookmarkStart w:id="165"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65"/>
    <w:bookmarkStart w:id="166"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 Vertical</w:t>
      </w:r>
      <w:r>
        <w:t xml:space="preserve"> </w:t>
      </w:r>
      <w:r>
        <w:t xml:space="preserve">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66"/>
    <w:bookmarkStart w:id="167"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67"/>
    <w:bookmarkStart w:id="168"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68"/>
    <w:bookmarkStart w:id="169"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w:t>
      </w:r>
      <w:r>
        <w:t xml:space="preserve">-</w:t>
      </w:r>
      <w:r>
        <w:t xml:space="preserve">Lived Light</w:t>
      </w:r>
      <w:r>
        <w:t xml:space="preserve">-</w:t>
      </w:r>
      <w:r>
        <w:t xml:space="preserve">Demanding Species</w:t>
      </w:r>
      <w:r>
        <w:t xml:space="preserve"> </w:t>
      </w:r>
      <w:r>
        <w:t xml:space="preserve">of the</w:t>
      </w:r>
      <w:r>
        <w:t xml:space="preserve"> </w:t>
      </w:r>
      <w:r>
        <w:t xml:space="preserve">Congo Basin Semi</w:t>
      </w:r>
      <w:r>
        <w:t xml:space="preserve">-</w:t>
      </w:r>
      <w:r>
        <w:t xml:space="preserve">Deciduous Forest</w:t>
      </w:r>
      <w:r>
        <w:t xml:space="preserve">.</w:t>
      </w:r>
      <w:r>
        <w:t xml:space="preserve"> </w:t>
      </w:r>
      <w:r>
        <w:rPr>
          <w:iCs/>
          <w:i/>
        </w:rPr>
        <w:t xml:space="preserve">Forests</w:t>
      </w:r>
      <w:r>
        <w:t xml:space="preserve"> </w:t>
      </w:r>
      <w:r>
        <w:rPr>
          <w:bCs/>
          <w:b/>
        </w:rPr>
        <w:t xml:space="preserve">11</w:t>
      </w:r>
      <w:r>
        <w:t xml:space="preserve">: 35.</w:t>
      </w:r>
    </w:p>
    <w:bookmarkEnd w:id="169"/>
    <w:bookmarkStart w:id="170"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70"/>
    <w:bookmarkStart w:id="171"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71"/>
    <w:bookmarkStart w:id="172"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 An</w:t>
      </w:r>
      <w:r>
        <w:t xml:space="preserve"> </w:t>
      </w:r>
      <w:r>
        <w:t xml:space="preserve">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72"/>
    <w:bookmarkStart w:id="173"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73"/>
    <w:bookmarkStart w:id="174"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74"/>
    <w:bookmarkStart w:id="175"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75"/>
    <w:bookmarkStart w:id="176"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76"/>
    <w:bookmarkStart w:id="177"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77"/>
    <w:bookmarkStart w:id="178" w:name="ref-konradLeafTemperatureIts2021"/>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78"/>
    <w:bookmarkStart w:id="179"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79"/>
    <w:bookmarkStart w:id="180"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 A</w:t>
      </w:r>
      <w:r>
        <w:t xml:space="preserve"> </w:t>
      </w:r>
      <w:r>
        <w:t xml:space="preserve">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80"/>
    <w:bookmarkStart w:id="181"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181"/>
    <w:bookmarkStart w:id="18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182"/>
    <w:bookmarkStart w:id="18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183"/>
    <w:bookmarkStart w:id="18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184"/>
    <w:bookmarkStart w:id="18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 The 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185"/>
    <w:bookmarkStart w:id="18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 The 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186"/>
    <w:bookmarkStart w:id="18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 New 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187"/>
    <w:bookmarkStart w:id="18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188"/>
    <w:bookmarkStart w:id="18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189"/>
    <w:bookmarkStart w:id="19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190"/>
    <w:bookmarkStart w:id="19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191"/>
    <w:bookmarkStart w:id="19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192"/>
    <w:bookmarkStart w:id="19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193"/>
    <w:bookmarkStart w:id="19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194"/>
    <w:bookmarkStart w:id="19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w:t>
      </w:r>
      <w:r>
        <w:t xml:space="preserve">-</w:t>
      </w:r>
      <w:r>
        <w:t xml:space="preserve">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195"/>
    <w:bookmarkStart w:id="19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196"/>
    <w:bookmarkStart w:id="19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197"/>
    <w:bookmarkStart w:id="19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198"/>
    <w:bookmarkStart w:id="19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199"/>
    <w:bookmarkStart w:id="20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00"/>
    <w:bookmarkStart w:id="20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01"/>
    <w:bookmarkStart w:id="20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02"/>
    <w:bookmarkStart w:id="20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03"/>
    <w:bookmarkStart w:id="20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04"/>
    <w:bookmarkStart w:id="205"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05"/>
    <w:bookmarkStart w:id="206"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06"/>
    <w:bookmarkStart w:id="207"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07"/>
    <w:bookmarkStart w:id="208"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08"/>
    <w:bookmarkStart w:id="209"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09"/>
    <w:bookmarkStart w:id="210"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10"/>
    <w:bookmarkStart w:id="211"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11"/>
    <w:bookmarkStart w:id="212"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12"/>
    <w:bookmarkStart w:id="213"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13"/>
    <w:bookmarkStart w:id="214"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14"/>
    <w:bookmarkStart w:id="215"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15"/>
    <w:bookmarkStart w:id="216" w:name="ref-michaletzEnergeticCarbonEconomic2016"/>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16"/>
    <w:bookmarkStart w:id="217" w:name="X271950285751bf115fde6248782e251cb55acd4"/>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 Energetics,</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17"/>
    <w:bookmarkStart w:id="21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 An</w:t>
      </w:r>
      <w:r>
        <w:t xml:space="preserve"> </w:t>
      </w:r>
      <w:r>
        <w:t xml:space="preserve">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18"/>
    <w:bookmarkStart w:id="21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19"/>
    <w:bookmarkStart w:id="22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20"/>
    <w:bookmarkStart w:id="22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21"/>
    <w:bookmarkStart w:id="22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 A 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22"/>
    <w:bookmarkStart w:id="22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23"/>
    <w:bookmarkStart w:id="224"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 The</w:t>
      </w:r>
      <w:r>
        <w:t xml:space="preserve"> </w:t>
      </w:r>
      <w:r>
        <w:t xml:space="preserve">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24"/>
    <w:bookmarkStart w:id="225"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 Insights 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25"/>
    <w:bookmarkStart w:id="226"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26"/>
    <w:bookmarkStart w:id="227"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27"/>
    <w:bookmarkStart w:id="228"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28"/>
    <w:bookmarkStart w:id="229"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29"/>
    <w:bookmarkStart w:id="230"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 Achievements 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30"/>
    <w:bookmarkStart w:id="231"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31"/>
    <w:bookmarkStart w:id="232"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32"/>
    <w:bookmarkStart w:id="233"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3"/>
    <w:bookmarkStart w:id="234"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 Past 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34"/>
    <w:bookmarkStart w:id="235"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 A meta-analysis.</w:t>
      </w:r>
      <w:r>
        <w:t xml:space="preserve"> </w:t>
      </w:r>
      <w:r>
        <w:rPr>
          <w:iCs/>
          <w:i/>
        </w:rPr>
        <w:t xml:space="preserve">J Plant Res</w:t>
      </w:r>
      <w:r>
        <w:t xml:space="preserve"> </w:t>
      </w:r>
      <w:r>
        <w:rPr>
          <w:bCs/>
          <w:b/>
        </w:rPr>
        <w:t xml:space="preserve">129</w:t>
      </w:r>
      <w:r>
        <w:t xml:space="preserve">: 313–338.</w:t>
      </w:r>
    </w:p>
    <w:bookmarkEnd w:id="235"/>
    <w:bookmarkStart w:id="236"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36"/>
    <w:bookmarkStart w:id="237"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 Implications for predicting canopy-scale isoprene fluxes.</w:t>
      </w:r>
      <w:r>
        <w:t xml:space="preserve"> </w:t>
      </w:r>
      <w:r>
        <w:rPr>
          <w:iCs/>
          <w:i/>
        </w:rPr>
        <w:t xml:space="preserve">J. Geophys. Res.-Biogeosci.</w:t>
      </w:r>
      <w:r>
        <w:t xml:space="preserve"> </w:t>
      </w:r>
      <w:r>
        <w:rPr>
          <w:bCs/>
          <w:b/>
        </w:rPr>
        <w:t xml:space="preserve">115</w:t>
      </w:r>
      <w:r>
        <w:t xml:space="preserve">: G04029.</w:t>
      </w:r>
    </w:p>
    <w:bookmarkEnd w:id="237"/>
    <w:bookmarkStart w:id="238"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38"/>
    <w:bookmarkStart w:id="239"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39"/>
    <w:bookmarkStart w:id="240"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40"/>
    <w:bookmarkStart w:id="241"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41"/>
    <w:bookmarkStart w:id="242"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42"/>
    <w:bookmarkStart w:id="243"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 Optimality 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43"/>
    <w:bookmarkStart w:id="244"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44"/>
    <w:bookmarkStart w:id="245"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45"/>
    <w:bookmarkStart w:id="246"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46"/>
    <w:bookmarkStart w:id="247"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47"/>
    <w:bookmarkStart w:id="248"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48"/>
    <w:bookmarkStart w:id="249" w:name="X5349a2a590687dae1d302b9d843e94191f30bb0"/>
    <w:p>
      <w:pPr>
        <w:pStyle w:val="Bibliography"/>
      </w:pPr>
      <w:r>
        <w:rPr>
          <w:bCs/>
          <w:b/>
          <w:bCs/>
          <w:b/>
        </w:rPr>
        <w:t xml:space="preserve">Ozanne CMP</w:t>
      </w:r>
      <w:r>
        <w:rPr>
          <w:bCs/>
          <w:b/>
        </w:rPr>
        <w:t xml:space="preserve">,</w:t>
      </w:r>
      <w:r>
        <w:rPr>
          <w:bCs/>
          <w:b/>
        </w:rPr>
        <w:t xml:space="preserve"> </w:t>
      </w:r>
      <w:r>
        <w:rPr>
          <w:bCs/>
          <w:b/>
          <w:bCs/>
          <w:b/>
        </w:rPr>
        <w:t xml:space="preserve">Anhuf D</w:t>
      </w:r>
      <w:r>
        <w:rPr>
          <w:bCs/>
          <w:b/>
        </w:rPr>
        <w:t xml:space="preserve">,</w:t>
      </w:r>
      <w:r>
        <w:rPr>
          <w:bCs/>
          <w:b/>
        </w:rPr>
        <w:t xml:space="preserve"> </w:t>
      </w:r>
      <w:r>
        <w:rPr>
          <w:bCs/>
          <w:b/>
          <w:bCs/>
          <w:b/>
        </w:rPr>
        <w:t xml:space="preserve">Boulter SL</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Körner C</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Mitchell AW</w:t>
      </w:r>
      <w:r>
        <w:rPr>
          <w:bCs/>
          <w:b/>
        </w:rPr>
        <w:t xml:space="preserve">,</w:t>
      </w:r>
      <w:r>
        <w:rPr>
          <w:bCs/>
          <w:b/>
        </w:rPr>
        <w:t xml:space="preserve"> </w:t>
      </w:r>
      <w:r>
        <w:rPr>
          <w:bCs/>
          <w:b/>
          <w:bCs/>
          <w:b/>
        </w:rPr>
        <w:t xml:space="preserve">Nakashizuka T</w:t>
      </w:r>
      <w:r>
        <w:rPr>
          <w:bCs/>
          <w:b/>
        </w:rPr>
        <w:t xml:space="preserve">,</w:t>
      </w:r>
      <w:r>
        <w:rPr>
          <w:bCs/>
          <w:b/>
        </w:rPr>
        <w:t xml:space="preserve"> </w:t>
      </w:r>
      <w:r>
        <w:rPr>
          <w:bCs/>
          <w:b/>
          <w:bCs/>
          <w:b/>
        </w:rPr>
        <w:t xml:space="preserve">Dias PLS</w:t>
      </w:r>
      <w:r>
        <w:rPr>
          <w:bCs/>
          <w:b/>
        </w:rPr>
        <w:t xml:space="preserve">,</w:t>
      </w:r>
      <w:r>
        <w:rPr>
          <w:bCs/>
          <w:b/>
        </w:rPr>
        <w:t xml:space="preserve"> </w:t>
      </w:r>
      <w:r>
        <w:rPr>
          <w:iCs/>
          <w:i/>
          <w:bCs/>
          <w:b/>
        </w:rPr>
        <w:t xml:space="preserve">et al.</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 A</w:t>
      </w:r>
      <w:r>
        <w:t xml:space="preserve"> </w:t>
      </w:r>
      <w:r>
        <w:t xml:space="preserve">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49"/>
    <w:bookmarkStart w:id="250"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50"/>
    <w:bookmarkStart w:id="251"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51"/>
    <w:bookmarkStart w:id="252"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52"/>
    <w:bookmarkStart w:id="253"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53"/>
    <w:bookmarkStart w:id="254"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54"/>
    <w:bookmarkStart w:id="255"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55"/>
    <w:bookmarkStart w:id="256"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56"/>
    <w:bookmarkStart w:id="257"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57"/>
    <w:bookmarkStart w:id="258"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58"/>
    <w:bookmarkStart w:id="259"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59"/>
    <w:bookmarkStart w:id="260"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w:t>
      </w:r>
      <w:r>
        <w:t xml:space="preserve">-</w:t>
      </w:r>
      <w:r>
        <w:t xml:space="preserve">IPCC</w:t>
      </w:r>
      <w:r>
        <w:t xml:space="preserve"> </w:t>
      </w:r>
      <w:r>
        <w:t xml:space="preserve">co-sponsored workshop on biodiversity and climate change.</w:t>
      </w:r>
    </w:p>
    <w:bookmarkEnd w:id="260"/>
    <w:bookmarkStart w:id="261"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61"/>
    <w:bookmarkStart w:id="262"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62"/>
    <w:bookmarkStart w:id="263" w:name="X2f829df4035c52e855c7de289ab40b4c139bb8f"/>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63"/>
    <w:bookmarkStart w:id="264"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64"/>
    <w:bookmarkStart w:id="265"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5"/>
    <w:bookmarkStart w:id="266"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w:t>
      </w:r>
      <w:r>
        <w:t xml:space="preserve">-</w:t>
      </w:r>
      <w:r>
        <w:t xml:space="preserve">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66"/>
    <w:bookmarkStart w:id="267"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67"/>
    <w:bookmarkStart w:id="268"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68"/>
    <w:bookmarkStart w:id="269"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69"/>
    <w:bookmarkStart w:id="270"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70"/>
    <w:bookmarkStart w:id="271"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271"/>
    <w:bookmarkStart w:id="272"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272"/>
    <w:bookmarkStart w:id="273"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273"/>
    <w:bookmarkStart w:id="274"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274"/>
    <w:bookmarkStart w:id="275"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275"/>
    <w:bookmarkStart w:id="276"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276"/>
    <w:bookmarkStart w:id="277"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277"/>
    <w:bookmarkStart w:id="278" w:name="X09ba62d06745595485000f6dbaffa1194d39fa2"/>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278"/>
    <w:bookmarkStart w:id="279"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 We grow fast but we fear the drought.</w:t>
      </w:r>
      <w:r>
        <w:t xml:space="preserve"> </w:t>
      </w:r>
      <w:r>
        <w:rPr>
          <w:iCs/>
          <w:i/>
        </w:rPr>
        <w:t xml:space="preserve">Dendrochronologia</w:t>
      </w:r>
      <w:r>
        <w:t xml:space="preserve"> </w:t>
      </w:r>
      <w:r>
        <w:rPr>
          <w:bCs/>
          <w:b/>
        </w:rPr>
        <w:t xml:space="preserve">55</w:t>
      </w:r>
      <w:r>
        <w:t xml:space="preserve">: 43–49.</w:t>
      </w:r>
    </w:p>
    <w:bookmarkEnd w:id="279"/>
    <w:bookmarkStart w:id="280" w:name="X061215d47d955ee52290079797e51cf19e4092a"/>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280"/>
    <w:bookmarkStart w:id="281"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w:t>
      </w:r>
      <w:r>
        <w:t xml:space="preserve">-exchanging</w:t>
      </w:r>
      <w:r>
        <w:t xml:space="preserve"> </w:t>
      </w:r>
      <w:r>
        <w:t xml:space="preserve">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281"/>
    <w:bookmarkStart w:id="282" w:name="ref-schymanskiStomatalControlLeaf2013b"/>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282"/>
    <w:bookmarkStart w:id="28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283"/>
    <w:bookmarkStart w:id="28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284"/>
    <w:bookmarkStart w:id="28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 Why 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285"/>
    <w:bookmarkStart w:id="286"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286"/>
    <w:bookmarkStart w:id="28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287"/>
    <w:bookmarkStart w:id="28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288"/>
    <w:bookmarkStart w:id="28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289"/>
    <w:bookmarkStart w:id="29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290"/>
    <w:bookmarkStart w:id="29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291"/>
    <w:bookmarkStart w:id="29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292"/>
    <w:bookmarkStart w:id="29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293"/>
    <w:bookmarkStart w:id="29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294"/>
    <w:bookmarkStart w:id="29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295"/>
    <w:bookmarkStart w:id="29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296"/>
    <w:bookmarkStart w:id="29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297"/>
    <w:bookmarkStart w:id="29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298"/>
    <w:bookmarkStart w:id="299"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299"/>
    <w:bookmarkStart w:id="300"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00"/>
    <w:bookmarkStart w:id="301"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01"/>
    <w:bookmarkStart w:id="302"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 An 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02"/>
    <w:bookmarkStart w:id="303"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03"/>
    <w:bookmarkStart w:id="304" w:name="X40affe6757fc836843b6dd54e003778f32bf8ab"/>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04"/>
    <w:bookmarkStart w:id="305"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05"/>
    <w:bookmarkStart w:id="306"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06"/>
    <w:bookmarkStart w:id="307"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07"/>
    <w:bookmarkStart w:id="308"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08"/>
    <w:bookmarkStart w:id="309"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09"/>
    <w:bookmarkStart w:id="310" w:name="ref-tibbittsHumidityPlants1979b"/>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10"/>
    <w:bookmarkStart w:id="311"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11"/>
    <w:bookmarkStart w:id="312" w:name="ref-trenberthGlobalWarmingChanges2014b"/>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12"/>
    <w:bookmarkStart w:id="313"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13"/>
    <w:bookmarkStart w:id="314"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14"/>
    <w:bookmarkStart w:id="315"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15"/>
    <w:bookmarkStart w:id="316"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16"/>
    <w:bookmarkStart w:id="317"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17"/>
    <w:bookmarkStart w:id="318"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18"/>
    <w:bookmarkStart w:id="319"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19"/>
    <w:bookmarkStart w:id="320"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20"/>
    <w:bookmarkStart w:id="321"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 Differences 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21"/>
    <w:bookmarkStart w:id="322"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22"/>
    <w:bookmarkStart w:id="323"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23"/>
    <w:bookmarkStart w:id="324"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w:t>
      </w:r>
      <w:r>
        <w:t xml:space="preserve"> </w:t>
      </w:r>
      <w:r>
        <w:rPr>
          <w:bCs/>
          <w:b/>
        </w:rPr>
        <w:t xml:space="preserve">32</w:t>
      </w:r>
      <w:r>
        <w:t xml:space="preserve">: 1066–1081.</w:t>
      </w:r>
    </w:p>
    <w:bookmarkEnd w:id="324"/>
    <w:bookmarkStart w:id="325"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25"/>
    <w:bookmarkStart w:id="326"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26"/>
    <w:bookmarkStart w:id="327"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27"/>
    <w:bookmarkStart w:id="328"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28"/>
    <w:bookmarkStart w:id="329"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29"/>
    <w:bookmarkStart w:id="330"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30"/>
    <w:bookmarkStart w:id="331"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 A 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31"/>
    <w:bookmarkStart w:id="332"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32"/>
    <w:bookmarkStart w:id="333"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33"/>
    <w:bookmarkStart w:id="334"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34"/>
    <w:bookmarkStart w:id="335"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 Insights 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35"/>
    <w:bookmarkStart w:id="336"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36"/>
    <w:bookmarkStart w:id="337" w:name="X75e30a46881438de8d94410bbe9f5cfc5e5e883"/>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37"/>
    <w:bookmarkStart w:id="338"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38"/>
    <w:bookmarkStart w:id="339"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39"/>
    <w:bookmarkStart w:id="340"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40"/>
    <w:bookmarkStart w:id="341"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41"/>
    <w:bookmarkEnd w:id="342"/>
    <w:bookmarkEnd w:id="343"/>
    <w:bookmarkEnd w:id="3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2022-01-07T15:21:08Z</dcterms:created>
  <dcterms:modified xsi:type="dcterms:W3CDTF">2022-01-07T15:21:08Z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vt:lpwstr>
  </property>
  <property fmtid="{D5CDD505-2E9C-101B-9397-08002B2CF9AE}" pid="5" name="output">
    <vt:lpwstr>word_document</vt:lpwstr>
  </property>
</Properties>
</file>